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4586" w:right="4586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Motorista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19337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Andre Luis Ferreira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12213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Adão Francisco Silveira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1266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Diogo Rafael </w:t>
            </w:r>
            <w:r>
              <w:rPr>
                <w:spacing w:val="-2"/>
                <w:sz w:val="16"/>
              </w:rPr>
              <w:t>Rupolo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23281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Gelson Quevedo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15042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Dimorgan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1647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Pilatti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2876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Eduardo Silva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7133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Felipe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4254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Iohann </w:t>
            </w:r>
            <w:r>
              <w:rPr>
                <w:spacing w:val="-2"/>
                <w:sz w:val="16"/>
              </w:rPr>
              <w:t>Felippi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8533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Renato Jose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11544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Leandro Danilo </w:t>
            </w:r>
            <w:r>
              <w:rPr>
                <w:spacing w:val="-2"/>
                <w:sz w:val="16"/>
              </w:rPr>
              <w:t>Quinot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8277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Vanderlei </w:t>
            </w:r>
            <w:r>
              <w:rPr>
                <w:spacing w:val="-2"/>
                <w:sz w:val="16"/>
              </w:rPr>
              <w:t>Barufke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10304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Nelciano Machado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15563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Eder João </w:t>
            </w:r>
            <w:r>
              <w:rPr>
                <w:spacing w:val="-2"/>
                <w:sz w:val="16"/>
              </w:rPr>
              <w:t>Derlan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14608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Joceli Luiz </w:t>
            </w:r>
            <w:r>
              <w:rPr>
                <w:spacing w:val="-2"/>
                <w:sz w:val="16"/>
              </w:rPr>
              <w:t>Borth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22816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Filipe Remus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before="90"/>
        <w:ind w:left="133" w:right="133"/>
        <w:jc w:val="center"/>
      </w:pPr>
      <w:r>
        <w:rPr/>
        <w:t>[NLP]: Nota em Língua Portuguesa / [NCG]: Nota em Conhecimentos Gerais / [NMT]: Nota em Noções de Matemática / [NLM]: Nota em Legislação Municipal / [NCE]: Nota em Conhecimentos </w:t>
      </w:r>
      <w:r>
        <w:rPr>
          <w:spacing w:val="-2"/>
        </w:rPr>
        <w:t>Específicos</w:t>
      </w:r>
    </w:p>
    <w:p>
      <w:pPr>
        <w:pStyle w:val="BodyText"/>
        <w:spacing w:before="32"/>
        <w:ind w:left="2752" w:right="2752"/>
        <w:jc w:val="center"/>
      </w:pPr>
      <w:r>
        <w:rPr/>
        <w:t>/ [NPE]: Nota da Prova Escrita / [Class]: Classificação Livre </w:t>
      </w:r>
      <w:r>
        <w:rPr>
          <w:spacing w:val="-2"/>
        </w:rPr>
        <w:t>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2022-09-09T13:18:08Z</dcterms:created>
  <dcterms:modified xsi:type="dcterms:W3CDTF">2022-09-09T13:18:08Z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