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</w:t>
      </w:r>
      <w:r>
        <w:rPr>
          <w:b/>
          <w:spacing w:val="-2"/>
          <w:sz w:val="20"/>
        </w:rPr>
        <w:t>Violoncelo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20536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Berns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9096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Mélani </w:t>
            </w:r>
            <w:r>
              <w:rPr>
                <w:spacing w:val="-2"/>
                <w:sz w:val="16"/>
              </w:rPr>
              <w:t>Grenzel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13792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Renan Carlos Apel </w:t>
            </w:r>
            <w:r>
              <w:rPr>
                <w:spacing w:val="-2"/>
                <w:sz w:val="16"/>
              </w:rPr>
              <w:t>Candiotto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7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2022-09-14T22:30:34Z</dcterms:created>
  <dcterms:modified xsi:type="dcterms:W3CDTF">2022-09-14T22:30:34Z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