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805" w:right="4746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99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805" w:right="4746" w:firstLine="0"/>
        <w:jc w:val="center"/>
        <w:rPr>
          <w:b/>
          <w:sz w:val="20"/>
        </w:rPr>
      </w:pPr>
      <w:r>
        <w:rPr>
          <w:b/>
          <w:sz w:val="20"/>
        </w:rPr>
        <w:t>Cargo: Instrutor de Música: Sopros Madeira / Sopros Metal / </w:t>
      </w:r>
      <w:r>
        <w:rPr>
          <w:b/>
          <w:spacing w:val="-5"/>
          <w:sz w:val="20"/>
        </w:rPr>
        <w:t>Sax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12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111"/>
              <w:jc w:val="righ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left="11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left="1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left="10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left="1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9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19697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Anderson </w:t>
            </w:r>
            <w:r>
              <w:rPr>
                <w:spacing w:val="-2"/>
                <w:sz w:val="16"/>
              </w:rPr>
              <w:t>Amaral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3.60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5.30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46" w:right="49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rPr>
                <w:sz w:val="16"/>
              </w:rPr>
            </w:pPr>
            <w:r>
              <w:rPr>
                <w:spacing w:val="-2"/>
                <w:sz w:val="16"/>
              </w:rPr>
              <w:t>17614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rPr>
                <w:sz w:val="16"/>
              </w:rPr>
            </w:pPr>
            <w:r>
              <w:rPr>
                <w:sz w:val="16"/>
              </w:rPr>
              <w:t>André </w:t>
            </w:r>
            <w:r>
              <w:rPr>
                <w:spacing w:val="-2"/>
                <w:sz w:val="16"/>
              </w:rPr>
              <w:t>Knoener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114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46" w:right="40"/>
              <w:jc w:val="center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left="123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</w:tcPr>
          <w:p>
            <w:pPr>
              <w:pStyle w:val="TableParagraph"/>
              <w:ind w:left="12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</w:tcPr>
          <w:p>
            <w:pPr>
              <w:pStyle w:val="TableParagraph"/>
              <w:ind w:left="121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left="119"/>
              <w:rPr>
                <w:sz w:val="16"/>
              </w:rPr>
            </w:pPr>
            <w:r>
              <w:rPr>
                <w:spacing w:val="-4"/>
                <w:sz w:val="16"/>
              </w:rPr>
              <w:t>6.50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jc w:val="center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3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jc w:val="center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2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805" w:right="4746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2022-09-14T22:30:39Z</dcterms:created>
  <dcterms:modified xsi:type="dcterms:W3CDTF">2022-09-14T22:30:39Z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